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478"/>
        <w:gridCol w:w="33"/>
        <w:gridCol w:w="15"/>
        <w:gridCol w:w="17"/>
        <w:gridCol w:w="9085"/>
      </w:tblGrid>
      <w:tr w:rsidR="00005BFF" w:rsidRPr="00BD27B6" w14:paraId="57B7B6E9" w14:textId="77777777" w:rsidTr="003C1388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BC6765E" w14:textId="77777777" w:rsidR="00005BFF" w:rsidRPr="00BE7B56" w:rsidRDefault="00005BFF" w:rsidP="003C1388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hoidon jatkuvuusmalli Tammelakeskuksen sosiaali- terveysasemalla</w:t>
            </w:r>
          </w:p>
        </w:tc>
      </w:tr>
      <w:tr w:rsidR="00005BFF" w14:paraId="5C44AB31" w14:textId="77777777" w:rsidTr="003C1388">
        <w:trPr>
          <w:trHeight w:val="4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C6A" w14:textId="77777777" w:rsidR="00005BFF" w:rsidRDefault="00005BFF" w:rsidP="003C1388">
            <w:r>
              <w:t xml:space="preserve">Saltiola Pilvi, Manninen Jaana Tammelakeskuksen sosiaali- ja terveysasema, Tampere </w:t>
            </w:r>
          </w:p>
        </w:tc>
      </w:tr>
      <w:tr w:rsidR="00005BFF" w:rsidRPr="0008478C" w14:paraId="2DE12799" w14:textId="77777777" w:rsidTr="003C1388">
        <w:trPr>
          <w:cantSplit/>
          <w:trHeight w:hRule="exact" w:val="284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51686B17" w14:textId="57A62FA0" w:rsidR="00005BFF" w:rsidRPr="00007BC5" w:rsidRDefault="00005BFF" w:rsidP="003C1388">
            <w:pPr>
              <w:rPr>
                <w:i/>
              </w:rPr>
            </w:pPr>
            <w:r w:rsidRPr="00007BC5">
              <w:rPr>
                <w:i/>
              </w:rPr>
              <w:t>Johdanto</w:t>
            </w:r>
            <w:r>
              <w:rPr>
                <w:i/>
              </w:rPr>
              <w:t xml:space="preserve"> </w:t>
            </w:r>
          </w:p>
        </w:tc>
      </w:tr>
      <w:tr w:rsidR="00005BFF" w14:paraId="495C58C7" w14:textId="77777777" w:rsidTr="003C1388">
        <w:trPr>
          <w:trHeight w:val="1138"/>
        </w:trPr>
        <w:tc>
          <w:tcPr>
            <w:tcW w:w="282" w:type="pct"/>
            <w:gridSpan w:val="4"/>
            <w:tcBorders>
              <w:bottom w:val="nil"/>
            </w:tcBorders>
          </w:tcPr>
          <w:p w14:paraId="31B8F50B" w14:textId="77777777" w:rsidR="00005BFF" w:rsidRDefault="00005BFF" w:rsidP="003C1388"/>
        </w:tc>
        <w:tc>
          <w:tcPr>
            <w:tcW w:w="4718" w:type="pct"/>
            <w:tcBorders>
              <w:bottom w:val="nil"/>
            </w:tcBorders>
          </w:tcPr>
          <w:p w14:paraId="1F9D8662" w14:textId="77777777" w:rsidR="00005BFF" w:rsidRDefault="00005BFF" w:rsidP="00CA7074"/>
          <w:p w14:paraId="1EA14ECF" w14:textId="1208195F" w:rsidR="00005BFF" w:rsidRDefault="00005BFF" w:rsidP="00CA7074">
            <w:r w:rsidRPr="00EF7F58">
              <w:t>Tammelake</w:t>
            </w:r>
            <w:r>
              <w:t>skuksen so</w:t>
            </w:r>
            <w:r w:rsidR="000F4670">
              <w:t>siaali- ja terveys</w:t>
            </w:r>
            <w:r>
              <w:t>asemalla</w:t>
            </w:r>
            <w:r w:rsidRPr="00EF7F58">
              <w:t xml:space="preserve"> </w:t>
            </w:r>
            <w:r w:rsidR="000F4670">
              <w:t>hoidon saatavuuden priorisointi</w:t>
            </w:r>
            <w:r>
              <w:t xml:space="preserve"> on johtanut</w:t>
            </w:r>
            <w:r w:rsidR="00285FE3">
              <w:t xml:space="preserve"> potilaiden </w:t>
            </w:r>
            <w:r>
              <w:t>hoidon pirstaloitumiseen</w:t>
            </w:r>
            <w:r w:rsidR="00285FE3">
              <w:t xml:space="preserve"> useille eri ammattilaisille, mikä lisää päällekkäistä työtä ja kuormittaa henkilöstöä</w:t>
            </w:r>
            <w:r w:rsidRPr="00EF7F58">
              <w:t>.</w:t>
            </w:r>
            <w:r w:rsidR="00D64A36">
              <w:rPr>
                <w:b/>
                <w:bCs/>
                <w:color w:val="FF0000"/>
              </w:rPr>
              <w:t xml:space="preserve"> </w:t>
            </w:r>
            <w:r w:rsidR="00D64A36" w:rsidRPr="00D64A36">
              <w:t>Potilaat ovat tyytymättömiä siihen, että asioiden hoitaminen on aloitettava alusta uuden ammattilaisen kanssa.</w:t>
            </w:r>
            <w:r w:rsidRPr="00D64A36">
              <w:t xml:space="preserve"> </w:t>
            </w:r>
            <w:r w:rsidRPr="00EF7F58">
              <w:t>Omalääkäri 2.0 -selvityksessä v. 2022 osoitettiin kiistaton tutkimusnäyttö h</w:t>
            </w:r>
            <w:r w:rsidR="00285FE3">
              <w:t>oidon</w:t>
            </w:r>
            <w:r w:rsidRPr="00EF7F58">
              <w:t xml:space="preserve"> jatkuvuuden </w:t>
            </w:r>
            <w:r w:rsidR="00BE0D67">
              <w:t>hyödyistä</w:t>
            </w:r>
            <w:r w:rsidRPr="00EF7F58">
              <w:t>. Hoidon jatkuvuus parantaa hoidon laatua, vähentää kuolleisuutta, vähentää erikoissairaanhoidon ja päivystyksellisen hoidon tarvetta, parantaa asiakastyytyväisyyttä, hoitosuhteen luottamusta ja henkilöstön tyytyväisyyttä se</w:t>
            </w:r>
            <w:r>
              <w:t>kä</w:t>
            </w:r>
            <w:r w:rsidRPr="00EF7F58">
              <w:t xml:space="preserve"> vähentää terveydenhuollon kustannuksia.</w:t>
            </w:r>
          </w:p>
          <w:p w14:paraId="10132418" w14:textId="2B661F5C" w:rsidR="00005BFF" w:rsidRDefault="00005BFF" w:rsidP="00CA7074">
            <w:r>
              <w:t>Kehittämistyömme lähtökohtana oli</w:t>
            </w:r>
            <w:r w:rsidRPr="00EF7F58">
              <w:t xml:space="preserve"> parantaa henkilökohtaisen hoitosuhteen jatkuvuutta terveysasemalla nimeämällä </w:t>
            </w:r>
            <w:r w:rsidR="00FB433D">
              <w:t>kaikille potilaille</w:t>
            </w:r>
            <w:r w:rsidRPr="00EF7F58">
              <w:t xml:space="preserve"> omalääkäri </w:t>
            </w:r>
            <w:r w:rsidR="000C65D8">
              <w:t>ja</w:t>
            </w:r>
            <w:r w:rsidRPr="00EF7F58">
              <w:t xml:space="preserve"> omahoitaja</w:t>
            </w:r>
            <w:r>
              <w:t xml:space="preserve"> sekä jakamalla koko suuren sote-aseman väestö neljään pienempään tiimiin, jotta yksittäisen potilaan hoito kohdentuisi pienemmälle määrälle ammattilaisia</w:t>
            </w:r>
            <w:r w:rsidR="00BE0D67">
              <w:t xml:space="preserve"> myös silloin, kun omatyöntekijä ei ole tavoitettavissa</w:t>
            </w:r>
            <w:r>
              <w:t>.</w:t>
            </w:r>
            <w:r w:rsidR="00BD7DD2">
              <w:t xml:space="preserve"> </w:t>
            </w:r>
            <w:proofErr w:type="gramStart"/>
            <w:r w:rsidR="00285FE3">
              <w:t xml:space="preserve">Työn </w:t>
            </w:r>
            <w:r w:rsidR="00ED3024">
              <w:t xml:space="preserve"> sujuvuuden</w:t>
            </w:r>
            <w:proofErr w:type="gramEnd"/>
            <w:r w:rsidR="00ED3024">
              <w:t xml:space="preserve"> varmistamiseksi ja </w:t>
            </w:r>
            <w:r w:rsidR="00821896">
              <w:t xml:space="preserve">työrauhan takaamiseksi </w:t>
            </w:r>
            <w:r w:rsidR="00285FE3">
              <w:t>tavoittelimme yhtä selkeää toimintamallia</w:t>
            </w:r>
            <w:r w:rsidR="00FB433D">
              <w:t xml:space="preserve">. </w:t>
            </w:r>
            <w:r>
              <w:t xml:space="preserve"> Suunnitelmassa tavoittelimme h</w:t>
            </w:r>
            <w:r w:rsidRPr="006F7B0F">
              <w:t>oidon jatkuvuuden paranemi</w:t>
            </w:r>
            <w:r>
              <w:t>sta, a</w:t>
            </w:r>
            <w:r w:rsidRPr="006F7B0F">
              <w:t>siakastyytyväisyyden lisääntymi</w:t>
            </w:r>
            <w:r>
              <w:t>stä, h</w:t>
            </w:r>
            <w:r w:rsidRPr="006F7B0F">
              <w:t>oidon laadun paranemi</w:t>
            </w:r>
            <w:r>
              <w:t>sta, h</w:t>
            </w:r>
            <w:r w:rsidRPr="006F7B0F">
              <w:t>enkilöstön työtyytyväisyyden ja p</w:t>
            </w:r>
            <w:r w:rsidR="00BE0D67">
              <w:t>ysyvyyden</w:t>
            </w:r>
            <w:r w:rsidRPr="006F7B0F">
              <w:t xml:space="preserve"> paranemi</w:t>
            </w:r>
            <w:r>
              <w:t>sta sekä h</w:t>
            </w:r>
            <w:r w:rsidRPr="006F7B0F">
              <w:t>oidon saatavuuden turvaami</w:t>
            </w:r>
            <w:r>
              <w:t>sta</w:t>
            </w:r>
            <w:r w:rsidR="00BE0D67">
              <w:t>.</w:t>
            </w:r>
          </w:p>
        </w:tc>
      </w:tr>
      <w:tr w:rsidR="00005BFF" w:rsidRPr="0008478C" w14:paraId="4AD528A7" w14:textId="77777777" w:rsidTr="003C1388">
        <w:trPr>
          <w:trHeight w:hRule="exact" w:val="980"/>
        </w:trPr>
        <w:tc>
          <w:tcPr>
            <w:tcW w:w="282" w:type="pct"/>
            <w:gridSpan w:val="4"/>
            <w:tcBorders>
              <w:top w:val="nil"/>
            </w:tcBorders>
          </w:tcPr>
          <w:p w14:paraId="76C69CA3" w14:textId="77777777" w:rsidR="00005BFF" w:rsidRPr="00007BC5" w:rsidRDefault="00005BFF" w:rsidP="003C1388">
            <w:pPr>
              <w:rPr>
                <w:i/>
              </w:rPr>
            </w:pPr>
          </w:p>
        </w:tc>
        <w:tc>
          <w:tcPr>
            <w:tcW w:w="4718" w:type="pct"/>
            <w:tcBorders>
              <w:top w:val="nil"/>
            </w:tcBorders>
          </w:tcPr>
          <w:p w14:paraId="3C740AF5" w14:textId="77777777" w:rsidR="00005BFF" w:rsidRPr="00007BC5" w:rsidRDefault="00005BFF" w:rsidP="003C1388">
            <w:pPr>
              <w:rPr>
                <w:i/>
              </w:rPr>
            </w:pPr>
          </w:p>
        </w:tc>
      </w:tr>
      <w:tr w:rsidR="00005BFF" w14:paraId="0F82AF57" w14:textId="77777777" w:rsidTr="003C1388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6E856BBA" w14:textId="1D7DF9EC" w:rsidR="00005BFF" w:rsidRDefault="00005BFF" w:rsidP="003C1388">
            <w:r w:rsidRPr="00007BC5">
              <w:rPr>
                <w:i/>
              </w:rPr>
              <w:t>Aineisto ja menetelmät</w:t>
            </w:r>
            <w:r>
              <w:rPr>
                <w:i/>
              </w:rPr>
              <w:t xml:space="preserve"> </w:t>
            </w:r>
          </w:p>
        </w:tc>
      </w:tr>
      <w:tr w:rsidR="00005BFF" w14:paraId="0E2D825B" w14:textId="77777777" w:rsidTr="003C1388">
        <w:trPr>
          <w:trHeight w:val="2131"/>
        </w:trPr>
        <w:tc>
          <w:tcPr>
            <w:tcW w:w="265" w:type="pct"/>
            <w:gridSpan w:val="2"/>
            <w:tcBorders>
              <w:top w:val="nil"/>
            </w:tcBorders>
          </w:tcPr>
          <w:p w14:paraId="2D585AA7" w14:textId="77777777" w:rsidR="00005BFF" w:rsidRDefault="00005BFF" w:rsidP="003C1388"/>
        </w:tc>
        <w:tc>
          <w:tcPr>
            <w:tcW w:w="4735" w:type="pct"/>
            <w:gridSpan w:val="3"/>
            <w:tcBorders>
              <w:top w:val="nil"/>
            </w:tcBorders>
          </w:tcPr>
          <w:p w14:paraId="0D8CF701" w14:textId="77777777" w:rsidR="00BE0D67" w:rsidRDefault="00BE0D67" w:rsidP="00CA7074"/>
          <w:p w14:paraId="6105F4EE" w14:textId="76E2E407" w:rsidR="00005BFF" w:rsidRDefault="00FE289F" w:rsidP="00CA7074">
            <w:r>
              <w:t>Henkilöstölle järjestettiin</w:t>
            </w:r>
            <w:r w:rsidR="00005BFF">
              <w:t xml:space="preserve"> </w:t>
            </w:r>
            <w:r w:rsidR="005B3509">
              <w:t>luento</w:t>
            </w:r>
            <w:r w:rsidR="00005BFF">
              <w:t xml:space="preserve">koulutusta hoidon jatkuvuuden hyödyistä ja Omalääkärimalli 2.0:n mukaisesta </w:t>
            </w:r>
            <w:r w:rsidR="00285FE3">
              <w:t>työpari</w:t>
            </w:r>
            <w:r w:rsidR="00005BFF">
              <w:t xml:space="preserve">työskentelystä. </w:t>
            </w:r>
            <w:r w:rsidR="005B3509">
              <w:t>Asemalla järjestettiin</w:t>
            </w:r>
            <w:r w:rsidR="00005BFF">
              <w:t xml:space="preserve"> </w:t>
            </w:r>
            <w:r w:rsidR="005B3509">
              <w:t>työpaj</w:t>
            </w:r>
            <w:r w:rsidR="002D69B6">
              <w:t>oja</w:t>
            </w:r>
            <w:r w:rsidR="005B3509">
              <w:t xml:space="preserve"> </w:t>
            </w:r>
            <w:r w:rsidR="00005BFF">
              <w:t xml:space="preserve">hukkatyön vähentämiseksi ja hoidon jatkuvuuden parantamiseksi. Hoidon jatkuvuuden toteutumista kartoitettiin henkilöstökyselyllä ja asiakaskyselyllä. </w:t>
            </w:r>
            <w:r w:rsidR="005B3509">
              <w:t>A</w:t>
            </w:r>
            <w:r w:rsidR="00005BFF">
              <w:t>semakohtaista hoidon j</w:t>
            </w:r>
            <w:r w:rsidR="00005BFF" w:rsidRPr="00476585">
              <w:t>atkuvuuden mittaami</w:t>
            </w:r>
            <w:r w:rsidR="00005BFF">
              <w:t>sta</w:t>
            </w:r>
            <w:r w:rsidR="002D69B6">
              <w:t xml:space="preserve"> (COCI, Continuity of care -indeksi)</w:t>
            </w:r>
            <w:r w:rsidR="005B3509">
              <w:t xml:space="preserve"> </w:t>
            </w:r>
            <w:r w:rsidR="002D69B6" w:rsidRPr="00476585">
              <w:t xml:space="preserve">tietojärjestelmistä </w:t>
            </w:r>
            <w:r w:rsidR="006669BC">
              <w:t>jäätiin vielä odottamaan</w:t>
            </w:r>
            <w:r w:rsidR="00E55DD9">
              <w:t xml:space="preserve">. </w:t>
            </w:r>
            <w:r w:rsidR="00005BFF">
              <w:t xml:space="preserve">Tammelakeskuksen </w:t>
            </w:r>
            <w:r w:rsidR="00882115">
              <w:t xml:space="preserve">tilanteesta </w:t>
            </w:r>
            <w:r w:rsidR="00005BFF">
              <w:t>viestitt</w:t>
            </w:r>
            <w:r w:rsidR="00BE0D67">
              <w:t>iin</w:t>
            </w:r>
            <w:r w:rsidR="00005BFF">
              <w:t xml:space="preserve"> Pirhan hoidon jatkuvuushankkeen kehittäji</w:t>
            </w:r>
            <w:r w:rsidR="00BE0D67">
              <w:t>en kanssa ja</w:t>
            </w:r>
            <w:r w:rsidR="00005BFF">
              <w:t xml:space="preserve"> SoTeKe-kehittäjätyöpari osallistui Pirhan Kehittämisverkoston työpajatyöskentely</w:t>
            </w:r>
            <w:r w:rsidR="00BE0D67">
              <w:t>yn osana Tammelakeskuksen kehittämisryhmää</w:t>
            </w:r>
            <w:r w:rsidR="00005BFF">
              <w:t>.</w:t>
            </w:r>
          </w:p>
          <w:p w14:paraId="319A7955" w14:textId="77777777" w:rsidR="00005BFF" w:rsidRDefault="00005BFF" w:rsidP="00CA7074">
            <w:pPr>
              <w:spacing w:after="0" w:line="240" w:lineRule="auto"/>
            </w:pPr>
          </w:p>
        </w:tc>
      </w:tr>
      <w:tr w:rsidR="00005BFF" w:rsidRPr="0008478C" w14:paraId="15A46403" w14:textId="77777777" w:rsidTr="003C1388">
        <w:trPr>
          <w:cantSplit/>
          <w:trHeight w:hRule="exact" w:val="301"/>
        </w:trPr>
        <w:tc>
          <w:tcPr>
            <w:tcW w:w="5000" w:type="pct"/>
            <w:gridSpan w:val="5"/>
          </w:tcPr>
          <w:p w14:paraId="02EE93AF" w14:textId="04E9A2B0" w:rsidR="00005BFF" w:rsidRPr="006D717C" w:rsidRDefault="00005BFF" w:rsidP="003C1388">
            <w:pPr>
              <w:rPr>
                <w:i/>
                <w:color w:val="FF0000"/>
              </w:rPr>
            </w:pPr>
            <w:r w:rsidRPr="00007BC5">
              <w:rPr>
                <w:i/>
              </w:rPr>
              <w:t>Tulokset</w:t>
            </w:r>
            <w:r>
              <w:rPr>
                <w:i/>
              </w:rPr>
              <w:t xml:space="preserve"> </w:t>
            </w:r>
          </w:p>
        </w:tc>
      </w:tr>
      <w:tr w:rsidR="00005BFF" w14:paraId="3CD83816" w14:textId="77777777" w:rsidTr="003C1388">
        <w:trPr>
          <w:trHeight w:val="2821"/>
        </w:trPr>
        <w:tc>
          <w:tcPr>
            <w:tcW w:w="273" w:type="pct"/>
            <w:gridSpan w:val="3"/>
          </w:tcPr>
          <w:p w14:paraId="5E9D8CD9" w14:textId="77777777" w:rsidR="00005BFF" w:rsidRDefault="00005BFF" w:rsidP="003C1388"/>
        </w:tc>
        <w:tc>
          <w:tcPr>
            <w:tcW w:w="4727" w:type="pct"/>
            <w:gridSpan w:val="2"/>
          </w:tcPr>
          <w:p w14:paraId="388DF21D" w14:textId="2E8E936C" w:rsidR="00005BFF" w:rsidRPr="006F7B0F" w:rsidRDefault="00005BFF" w:rsidP="00285FE3">
            <w:pPr>
              <w:spacing w:after="0" w:line="240" w:lineRule="auto"/>
              <w:jc w:val="both"/>
            </w:pPr>
          </w:p>
          <w:p w14:paraId="388E0EBD" w14:textId="51F41527" w:rsidR="00005BFF" w:rsidRDefault="00752D91" w:rsidP="00591E16">
            <w:r>
              <w:t>Pirhan hoidon jatkuvuusmalli määrittää ja rajaa asemakohtais</w:t>
            </w:r>
            <w:r w:rsidR="00955538">
              <w:t>e</w:t>
            </w:r>
            <w:r w:rsidR="00CA4800">
              <w:t>n</w:t>
            </w:r>
            <w:r w:rsidR="00955538">
              <w:t xml:space="preserve"> kehittämise</w:t>
            </w:r>
            <w:r w:rsidR="00CA4800">
              <w:t>n</w:t>
            </w:r>
            <w:r w:rsidR="00955538">
              <w:t xml:space="preserve"> </w:t>
            </w:r>
            <w:r w:rsidR="00CA4800">
              <w:t>etenemis</w:t>
            </w:r>
            <w:r w:rsidR="00955538">
              <w:t xml:space="preserve">tä. </w:t>
            </w:r>
            <w:r w:rsidR="002D69B6">
              <w:t>O</w:t>
            </w:r>
            <w:r w:rsidR="0044361D">
              <w:t>matyöntekijöiden</w:t>
            </w:r>
            <w:r w:rsidR="00140DEE">
              <w:t xml:space="preserve"> nimeämistä</w:t>
            </w:r>
            <w:r w:rsidR="00076807">
              <w:t xml:space="preserve"> </w:t>
            </w:r>
            <w:r w:rsidR="002D69B6">
              <w:t xml:space="preserve">rajataan Pirhassa </w:t>
            </w:r>
            <w:r w:rsidR="00140DEE">
              <w:t>erillisten kriteerien perusteella</w:t>
            </w:r>
            <w:r w:rsidR="00D84761">
              <w:t xml:space="preserve"> eikä t</w:t>
            </w:r>
            <w:r w:rsidR="002D69B6">
              <w:t>avoiteltua</w:t>
            </w:r>
            <w:r w:rsidR="00952612">
              <w:t xml:space="preserve"> yhtenäistä toimintamallia voida tässä vaiheessa toteuttaa</w:t>
            </w:r>
            <w:r w:rsidR="00140DEE">
              <w:t xml:space="preserve">. </w:t>
            </w:r>
            <w:r w:rsidR="00A977F8">
              <w:t>Pirhan hoidon jatkuvuushankkeen a</w:t>
            </w:r>
            <w:r w:rsidR="009029BB">
              <w:t>lustava</w:t>
            </w:r>
            <w:r w:rsidR="00866F9B">
              <w:t>ssa</w:t>
            </w:r>
            <w:r w:rsidR="009029BB">
              <w:t xml:space="preserve"> diagnoosipoiminnassa 6135 </w:t>
            </w:r>
            <w:r w:rsidR="00A977F8">
              <w:t xml:space="preserve">Tammelakeskuksen </w:t>
            </w:r>
            <w:r w:rsidR="009029BB">
              <w:t xml:space="preserve">potilasta </w:t>
            </w:r>
            <w:r w:rsidR="00866F9B">
              <w:t>täytti omatyöntekijään oikeuttavat kriteerit</w:t>
            </w:r>
            <w:r w:rsidR="004C59B9">
              <w:t>,</w:t>
            </w:r>
            <w:r w:rsidR="0029031B">
              <w:t xml:space="preserve"> mutta </w:t>
            </w:r>
            <w:r w:rsidR="005C113F">
              <w:t>nimeämis</w:t>
            </w:r>
            <w:r w:rsidR="00882115">
              <w:t xml:space="preserve">tä </w:t>
            </w:r>
            <w:r w:rsidR="005C113F">
              <w:t>ja puhelinliikennettä ohjaavia järjestelmäratkaisuja odotetaan vielä</w:t>
            </w:r>
            <w:r w:rsidR="0029031B">
              <w:t xml:space="preserve">. </w:t>
            </w:r>
            <w:r w:rsidR="00297478">
              <w:t>Tammelakeskuksessa o</w:t>
            </w:r>
            <w:r w:rsidR="00F55F27">
              <w:t>matyöntekijöitä ei ole nimetty</w:t>
            </w:r>
            <w:r w:rsidR="000C65D8">
              <w:t xml:space="preserve"> eikä </w:t>
            </w:r>
            <w:r w:rsidR="00EB2703">
              <w:t>terveysasemaa</w:t>
            </w:r>
            <w:r w:rsidR="000C65D8">
              <w:t xml:space="preserve"> ole jaettu pienempiin tiimeihin</w:t>
            </w:r>
            <w:r w:rsidR="00EB2703">
              <w:t>.</w:t>
            </w:r>
            <w:r w:rsidR="001043F8">
              <w:t xml:space="preserve"> Pirhan hoidon jatkuvuusmallin ensimmäi</w:t>
            </w:r>
            <w:r w:rsidR="00882115">
              <w:t>sen vaiheen mukai</w:t>
            </w:r>
            <w:r w:rsidR="002D69B6">
              <w:t>nen</w:t>
            </w:r>
            <w:r w:rsidR="00882115">
              <w:t xml:space="preserve"> toiminta</w:t>
            </w:r>
            <w:r w:rsidR="001043F8">
              <w:t xml:space="preserve"> käynnistyy Tammelakeskukse</w:t>
            </w:r>
            <w:r w:rsidR="00882115">
              <w:t xml:space="preserve">ssa </w:t>
            </w:r>
            <w:r w:rsidR="001043F8">
              <w:t>alustavasti syyskuussa 2025.</w:t>
            </w:r>
            <w:r w:rsidR="00EB2703">
              <w:t xml:space="preserve"> </w:t>
            </w:r>
          </w:p>
        </w:tc>
      </w:tr>
      <w:tr w:rsidR="00005BFF" w:rsidRPr="0008478C" w14:paraId="01FDC493" w14:textId="77777777" w:rsidTr="003C1388">
        <w:trPr>
          <w:cantSplit/>
          <w:trHeight w:hRule="exact" w:val="277"/>
        </w:trPr>
        <w:tc>
          <w:tcPr>
            <w:tcW w:w="5000" w:type="pct"/>
            <w:gridSpan w:val="5"/>
          </w:tcPr>
          <w:p w14:paraId="4DEC6C26" w14:textId="1212E626" w:rsidR="00005BFF" w:rsidRPr="00007BC5" w:rsidRDefault="00005BFF" w:rsidP="003C1388">
            <w:pPr>
              <w:rPr>
                <w:i/>
              </w:rPr>
            </w:pPr>
            <w:r w:rsidRPr="00007BC5">
              <w:rPr>
                <w:i/>
              </w:rPr>
              <w:t>Pohdinta</w:t>
            </w:r>
            <w:r>
              <w:rPr>
                <w:i/>
              </w:rPr>
              <w:t xml:space="preserve"> </w:t>
            </w:r>
          </w:p>
        </w:tc>
      </w:tr>
      <w:tr w:rsidR="00005BFF" w:rsidRPr="0008478C" w14:paraId="65E14896" w14:textId="77777777" w:rsidTr="003C1388">
        <w:trPr>
          <w:cantSplit/>
          <w:trHeight w:hRule="exact" w:val="2974"/>
        </w:trPr>
        <w:tc>
          <w:tcPr>
            <w:tcW w:w="273" w:type="pct"/>
            <w:gridSpan w:val="3"/>
          </w:tcPr>
          <w:p w14:paraId="7F6AFBE9" w14:textId="77777777" w:rsidR="00005BFF" w:rsidRPr="00007BC5" w:rsidRDefault="00005BFF" w:rsidP="003C1388">
            <w:pPr>
              <w:rPr>
                <w:i/>
              </w:rPr>
            </w:pPr>
          </w:p>
        </w:tc>
        <w:tc>
          <w:tcPr>
            <w:tcW w:w="4727" w:type="pct"/>
            <w:gridSpan w:val="2"/>
          </w:tcPr>
          <w:p w14:paraId="464F28E9" w14:textId="3AAC5AFE" w:rsidR="001043F8" w:rsidRPr="00BE7B56" w:rsidRDefault="006A3AAD" w:rsidP="00882115">
            <w:r>
              <w:t xml:space="preserve">Henkilöstön tietoisuus hoidon jatkuvuuden hyödyistä on lisääntynyt ja </w:t>
            </w:r>
            <w:r w:rsidR="00714A93">
              <w:t>arkityössä hoidon jatkuvuutta pyritään tukemaan aiempaa enemmän</w:t>
            </w:r>
            <w:r w:rsidR="00827934">
              <w:t xml:space="preserve"> mutta </w:t>
            </w:r>
            <w:r w:rsidR="001425BB">
              <w:t xml:space="preserve">jatkuvuutta tukevan toimintamallin </w:t>
            </w:r>
            <w:proofErr w:type="gramStart"/>
            <w:r w:rsidR="001425BB">
              <w:t>puute</w:t>
            </w:r>
            <w:proofErr w:type="gramEnd"/>
            <w:r w:rsidR="001425BB">
              <w:t xml:space="preserve"> ja henkilöstön vaihtuvuus rajoittavat</w:t>
            </w:r>
            <w:r w:rsidR="00384571">
              <w:t xml:space="preserve"> käytännön toteutusta. </w:t>
            </w:r>
            <w:r w:rsidR="001043F8">
              <w:t xml:space="preserve">Pirkanmaan hoidon jatkuvuusmallin myötä liikkumavara asemakohtaisesti parhaiden ja tehokkaimpien mallien kehittämisessä ja hyödyntämisessä kuvautuu vähäisenä. Kehittämisessä olisi tärkeää huomioida </w:t>
            </w:r>
            <w:r w:rsidR="00882115">
              <w:t>käytännön työtä tekevän henkilöstön</w:t>
            </w:r>
            <w:r w:rsidR="001043F8">
              <w:t xml:space="preserve"> väestön tuntemus </w:t>
            </w:r>
            <w:r w:rsidR="00882115">
              <w:t>sekä</w:t>
            </w:r>
            <w:r w:rsidR="001043F8">
              <w:t xml:space="preserve"> myös päällekkäisten toimintamallien ja toistuvien muutosten </w:t>
            </w:r>
            <w:r w:rsidR="00882115">
              <w:t>henkilöstölle aiheuttama kuormitus</w:t>
            </w:r>
            <w:r w:rsidR="001043F8">
              <w:t>.</w:t>
            </w:r>
            <w:r w:rsidR="00C70707">
              <w:t xml:space="preserve"> </w:t>
            </w:r>
          </w:p>
        </w:tc>
      </w:tr>
      <w:tr w:rsidR="00005BFF" w14:paraId="3F67A3EB" w14:textId="77777777" w:rsidTr="003C1388">
        <w:trPr>
          <w:trHeight w:val="275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EAA8972" w14:textId="77777777" w:rsidR="00005BFF" w:rsidRPr="00EF5F92" w:rsidRDefault="00005BFF" w:rsidP="003C1388">
            <w:pPr>
              <w:rPr>
                <w:i/>
              </w:rPr>
            </w:pPr>
            <w:r w:rsidRPr="00EF5F92">
              <w:rPr>
                <w:i/>
              </w:rPr>
              <w:t>Yhdyshenkilön nimi ja sähköpostiosoite</w:t>
            </w:r>
          </w:p>
        </w:tc>
      </w:tr>
      <w:tr w:rsidR="00005BFF" w14:paraId="669D3CAA" w14:textId="77777777" w:rsidTr="003C1388">
        <w:trPr>
          <w:trHeight w:val="439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14:paraId="06084F7B" w14:textId="77777777" w:rsidR="00005BFF" w:rsidRDefault="00005BFF" w:rsidP="003C1388"/>
        </w:tc>
        <w:tc>
          <w:tcPr>
            <w:tcW w:w="475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7DDE4C0" w14:textId="1E7B1FC0" w:rsidR="00005BFF" w:rsidRDefault="00E86C6C" w:rsidP="003C1388">
            <w:r>
              <w:t xml:space="preserve">Jaana Manninen </w:t>
            </w:r>
            <w:hyperlink r:id="rId6" w:history="1">
              <w:r w:rsidRPr="00BD6700">
                <w:rPr>
                  <w:rStyle w:val="Hyperlinkki"/>
                </w:rPr>
                <w:t>jaana.manninen@pirha.fi</w:t>
              </w:r>
            </w:hyperlink>
            <w:r>
              <w:t xml:space="preserve">, </w:t>
            </w:r>
            <w:r w:rsidR="00252F33">
              <w:t>Pilvi Saltiola pilvi.saltiola@pirha.fi</w:t>
            </w:r>
          </w:p>
        </w:tc>
      </w:tr>
      <w:tr w:rsidR="00005BFF" w14:paraId="4181D0EC" w14:textId="77777777" w:rsidTr="003C1388">
        <w:trPr>
          <w:trHeight w:val="1044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14:paraId="392D3853" w14:textId="77777777" w:rsidR="00005BFF" w:rsidRDefault="00005BFF" w:rsidP="003C1388"/>
          <w:p w14:paraId="16D69794" w14:textId="02FD2AC5" w:rsidR="00005BFF" w:rsidRDefault="00005BFF" w:rsidP="003C1388"/>
        </w:tc>
      </w:tr>
    </w:tbl>
    <w:p w14:paraId="4503E1E4" w14:textId="77777777" w:rsidR="004B3CE8" w:rsidRPr="00A14C7F" w:rsidRDefault="004B3CE8">
      <w:pPr>
        <w:rPr>
          <w:rFonts w:ascii="Arial" w:hAnsi="Arial" w:cs="Arial"/>
          <w:sz w:val="20"/>
          <w:szCs w:val="20"/>
        </w:rPr>
      </w:pPr>
    </w:p>
    <w:sectPr w:rsidR="004B3CE8" w:rsidRPr="00A14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6D3F" w14:textId="77777777" w:rsidR="006734C8" w:rsidRDefault="006734C8" w:rsidP="003600BB">
      <w:pPr>
        <w:spacing w:after="0" w:line="240" w:lineRule="auto"/>
      </w:pPr>
      <w:r>
        <w:separator/>
      </w:r>
    </w:p>
  </w:endnote>
  <w:endnote w:type="continuationSeparator" w:id="0">
    <w:p w14:paraId="5A689E4D" w14:textId="77777777" w:rsidR="006734C8" w:rsidRDefault="006734C8" w:rsidP="003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EBAB" w14:textId="77777777" w:rsidR="003600BB" w:rsidRDefault="003600B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56AF" w14:textId="77777777" w:rsidR="003600BB" w:rsidRDefault="003600B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E489" w14:textId="77777777" w:rsidR="003600BB" w:rsidRDefault="003600B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94E4" w14:textId="77777777" w:rsidR="006734C8" w:rsidRDefault="006734C8" w:rsidP="003600BB">
      <w:pPr>
        <w:spacing w:after="0" w:line="240" w:lineRule="auto"/>
      </w:pPr>
      <w:r>
        <w:separator/>
      </w:r>
    </w:p>
  </w:footnote>
  <w:footnote w:type="continuationSeparator" w:id="0">
    <w:p w14:paraId="40A24C6F" w14:textId="77777777" w:rsidR="006734C8" w:rsidRDefault="006734C8" w:rsidP="0036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ED9F" w14:textId="77777777" w:rsidR="003600BB" w:rsidRDefault="003600B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BBA7" w14:textId="77777777" w:rsidR="003600BB" w:rsidRDefault="003600B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BFDE" w14:textId="77777777" w:rsidR="003600BB" w:rsidRDefault="003600B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FF"/>
    <w:rsid w:val="00005BFF"/>
    <w:rsid w:val="00043078"/>
    <w:rsid w:val="000516A1"/>
    <w:rsid w:val="00076807"/>
    <w:rsid w:val="000A4042"/>
    <w:rsid w:val="000A75F1"/>
    <w:rsid w:val="000C65D8"/>
    <w:rsid w:val="000F4670"/>
    <w:rsid w:val="001043F8"/>
    <w:rsid w:val="00123BA8"/>
    <w:rsid w:val="00140DEE"/>
    <w:rsid w:val="001425BB"/>
    <w:rsid w:val="00147514"/>
    <w:rsid w:val="00151180"/>
    <w:rsid w:val="001532F9"/>
    <w:rsid w:val="001774A4"/>
    <w:rsid w:val="001847FB"/>
    <w:rsid w:val="001A16BF"/>
    <w:rsid w:val="00252F33"/>
    <w:rsid w:val="00262476"/>
    <w:rsid w:val="00273071"/>
    <w:rsid w:val="00285FE3"/>
    <w:rsid w:val="0029031B"/>
    <w:rsid w:val="00297478"/>
    <w:rsid w:val="002D69B6"/>
    <w:rsid w:val="002E7FC2"/>
    <w:rsid w:val="00300BD6"/>
    <w:rsid w:val="003600BB"/>
    <w:rsid w:val="003619D1"/>
    <w:rsid w:val="00377B1E"/>
    <w:rsid w:val="00384571"/>
    <w:rsid w:val="00396D78"/>
    <w:rsid w:val="00415D30"/>
    <w:rsid w:val="0044361D"/>
    <w:rsid w:val="00473400"/>
    <w:rsid w:val="004B3CE8"/>
    <w:rsid w:val="004C59B9"/>
    <w:rsid w:val="004E77E2"/>
    <w:rsid w:val="0055393C"/>
    <w:rsid w:val="00562862"/>
    <w:rsid w:val="00591E16"/>
    <w:rsid w:val="005B3509"/>
    <w:rsid w:val="005C113F"/>
    <w:rsid w:val="005C1494"/>
    <w:rsid w:val="005C2C66"/>
    <w:rsid w:val="005F4FE9"/>
    <w:rsid w:val="00660E40"/>
    <w:rsid w:val="006669BC"/>
    <w:rsid w:val="006734C8"/>
    <w:rsid w:val="006A0D5C"/>
    <w:rsid w:val="006A3AAD"/>
    <w:rsid w:val="006B070B"/>
    <w:rsid w:val="006E7A1F"/>
    <w:rsid w:val="00714A93"/>
    <w:rsid w:val="00724AAD"/>
    <w:rsid w:val="00752D91"/>
    <w:rsid w:val="00775ABA"/>
    <w:rsid w:val="00796694"/>
    <w:rsid w:val="007E2217"/>
    <w:rsid w:val="007E78DE"/>
    <w:rsid w:val="007F6D1A"/>
    <w:rsid w:val="00812852"/>
    <w:rsid w:val="00821896"/>
    <w:rsid w:val="00825F0D"/>
    <w:rsid w:val="00827934"/>
    <w:rsid w:val="00866F9B"/>
    <w:rsid w:val="00882115"/>
    <w:rsid w:val="00885643"/>
    <w:rsid w:val="008C6904"/>
    <w:rsid w:val="008D45CF"/>
    <w:rsid w:val="009029BB"/>
    <w:rsid w:val="00911CD8"/>
    <w:rsid w:val="00941C47"/>
    <w:rsid w:val="00952612"/>
    <w:rsid w:val="00955538"/>
    <w:rsid w:val="00970BB0"/>
    <w:rsid w:val="0097744C"/>
    <w:rsid w:val="009A27DE"/>
    <w:rsid w:val="009F047A"/>
    <w:rsid w:val="00A14C7F"/>
    <w:rsid w:val="00A711B0"/>
    <w:rsid w:val="00A977F8"/>
    <w:rsid w:val="00AC294E"/>
    <w:rsid w:val="00AF4AEF"/>
    <w:rsid w:val="00B108B4"/>
    <w:rsid w:val="00B15248"/>
    <w:rsid w:val="00B41B50"/>
    <w:rsid w:val="00B82D6E"/>
    <w:rsid w:val="00BC37E0"/>
    <w:rsid w:val="00BD7DD2"/>
    <w:rsid w:val="00BE0A16"/>
    <w:rsid w:val="00BE0D67"/>
    <w:rsid w:val="00BF7CCF"/>
    <w:rsid w:val="00C22595"/>
    <w:rsid w:val="00C70707"/>
    <w:rsid w:val="00C70B97"/>
    <w:rsid w:val="00CA4800"/>
    <w:rsid w:val="00CA7074"/>
    <w:rsid w:val="00CF3888"/>
    <w:rsid w:val="00D2079C"/>
    <w:rsid w:val="00D40ED2"/>
    <w:rsid w:val="00D431DE"/>
    <w:rsid w:val="00D51A9C"/>
    <w:rsid w:val="00D64A36"/>
    <w:rsid w:val="00D84761"/>
    <w:rsid w:val="00DF451A"/>
    <w:rsid w:val="00E55DD9"/>
    <w:rsid w:val="00E86C6C"/>
    <w:rsid w:val="00EA6637"/>
    <w:rsid w:val="00EB2703"/>
    <w:rsid w:val="00EB4381"/>
    <w:rsid w:val="00ED2993"/>
    <w:rsid w:val="00ED3024"/>
    <w:rsid w:val="00F55F27"/>
    <w:rsid w:val="00FA5F52"/>
    <w:rsid w:val="00FB433D"/>
    <w:rsid w:val="00FE289F"/>
    <w:rsid w:val="00FE4A97"/>
    <w:rsid w:val="00FF09E0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966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05BFF"/>
    <w:pPr>
      <w:spacing w:after="200" w:line="27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005BF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05BF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05BF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05BF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05BF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05BF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05BF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05BF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05BF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BB"/>
  </w:style>
  <w:style w:type="paragraph" w:styleId="Alatunniste">
    <w:name w:val="footer"/>
    <w:basedOn w:val="Normaali"/>
    <w:link w:val="Ala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BB"/>
  </w:style>
  <w:style w:type="character" w:customStyle="1" w:styleId="Otsikko1Char">
    <w:name w:val="Otsikko 1 Char"/>
    <w:basedOn w:val="Kappaleenoletusfontti"/>
    <w:link w:val="Otsikko1"/>
    <w:uiPriority w:val="9"/>
    <w:rsid w:val="00005B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05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05B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05BFF"/>
    <w:rPr>
      <w:rFonts w:eastAsiaTheme="majorEastAsia" w:cstheme="majorBidi"/>
      <w:i/>
      <w:iCs/>
      <w:color w:val="2E74B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05BFF"/>
    <w:rPr>
      <w:rFonts w:eastAsiaTheme="majorEastAsia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05BF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05BF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05BF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05BF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05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05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05BF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05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05BFF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05BF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05BFF"/>
    <w:pPr>
      <w:spacing w:after="160" w:line="259" w:lineRule="auto"/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05BFF"/>
    <w:rPr>
      <w:i/>
      <w:iCs/>
      <w:color w:val="2E74B5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05B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05BFF"/>
    <w:rPr>
      <w:i/>
      <w:iCs/>
      <w:color w:val="2E74B5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05BFF"/>
    <w:rPr>
      <w:b/>
      <w:bCs/>
      <w:smallCaps/>
      <w:color w:val="2E74B5" w:themeColor="accent1" w:themeShade="BF"/>
      <w:spacing w:val="5"/>
    </w:rPr>
  </w:style>
  <w:style w:type="table" w:styleId="TaulukkoRuudukko">
    <w:name w:val="Table Grid"/>
    <w:basedOn w:val="Normaalitaulukko"/>
    <w:uiPriority w:val="59"/>
    <w:rsid w:val="0000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005BF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86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ana.manninen@pirha.f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a9328c-5e5c-4ef5-a2c3-4dd39b5d8171}" enabled="0" method="" siteId="{89a9328c-5e5c-4ef5-a2c3-4dd39b5d81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2025-04-09T09:55:00Z</dcterms:created>
  <dcterms:modified xsi:type="dcterms:W3CDTF">2025-05-08T11:24:00Z</dcterms:modified>
</cp:coreProperties>
</file>